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C2" w:rsidRDefault="003176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76C2" w:rsidRDefault="003176C2">
      <w:pPr>
        <w:pStyle w:val="ConsPlusNormal"/>
        <w:jc w:val="both"/>
        <w:outlineLvl w:val="0"/>
      </w:pPr>
    </w:p>
    <w:p w:rsidR="003176C2" w:rsidRDefault="003176C2">
      <w:pPr>
        <w:pStyle w:val="ConsPlusTitle"/>
        <w:jc w:val="center"/>
        <w:outlineLvl w:val="0"/>
      </w:pPr>
      <w:r>
        <w:t>ГУБЕРНАТОР УЛЬЯНОВСКОЙ ОБЛАСТИ</w:t>
      </w:r>
    </w:p>
    <w:p w:rsidR="003176C2" w:rsidRDefault="003176C2">
      <w:pPr>
        <w:pStyle w:val="ConsPlusTitle"/>
        <w:jc w:val="both"/>
      </w:pPr>
    </w:p>
    <w:p w:rsidR="003176C2" w:rsidRDefault="003176C2">
      <w:pPr>
        <w:pStyle w:val="ConsPlusTitle"/>
        <w:jc w:val="center"/>
      </w:pPr>
      <w:r>
        <w:t>УКАЗ</w:t>
      </w:r>
    </w:p>
    <w:p w:rsidR="003176C2" w:rsidRDefault="003176C2">
      <w:pPr>
        <w:pStyle w:val="ConsPlusTitle"/>
        <w:jc w:val="center"/>
      </w:pPr>
      <w:r>
        <w:t>от 12 марта 2020 г. N 19</w:t>
      </w:r>
    </w:p>
    <w:p w:rsidR="003176C2" w:rsidRDefault="003176C2">
      <w:pPr>
        <w:pStyle w:val="ConsPlusTitle"/>
        <w:jc w:val="both"/>
      </w:pPr>
    </w:p>
    <w:p w:rsidR="003176C2" w:rsidRDefault="003176C2">
      <w:pPr>
        <w:pStyle w:val="ConsPlusTitle"/>
        <w:jc w:val="center"/>
      </w:pPr>
      <w:r>
        <w:t>О ВВЕДЕНИИ РЕЖИМА ПОВЫШЕННОЙ ГОТОВНОСТИ</w:t>
      </w:r>
    </w:p>
    <w:p w:rsidR="003176C2" w:rsidRDefault="003176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76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6C2" w:rsidRDefault="00317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6C2" w:rsidRDefault="003176C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Ульяновской области</w:t>
            </w:r>
          </w:p>
          <w:p w:rsidR="003176C2" w:rsidRDefault="00317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03.04.2020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ind w:firstLine="540"/>
        <w:jc w:val="both"/>
      </w:pPr>
      <w:r>
        <w:t xml:space="preserve">В связи с угрозой распространения в Ульяновской области новой коронавирусной инфекции, в соответствии с </w:t>
      </w:r>
      <w:hyperlink r:id="rId7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 постановляю: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1. Ввести на территории Ульяновской области режим повышенной готовности.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2. Запретить до особого указания проведение на территории Ульяновской области спортивных, зрелищных, публичных и иных массовых мероприятий.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 Временно приостановить: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3.1. До особого указания проведение на территории Ульяновской области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фитнес-центров, бассейнов,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3.2. С 28 марта по 30 апреля 2020 года деятельность организаций общественного питания, за исключением дистанционной торговли и обслуживания на вынос.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Данное ограничение не распространяется на организации общественного питания, осуществляющие организацию питания для работников организаций.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3.3. С 28 марта по 1 июня 2020 года: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1" w:name="P20"/>
      <w:bookmarkEnd w:id="1"/>
      <w:r>
        <w:t>3.3.1.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3.3.2. Деятельность объектов массового отдыха, расположенных на курортах регионального </w:t>
      </w:r>
      <w:r>
        <w:lastRenderedPageBreak/>
        <w:t>и местного значения.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2" w:name="P22"/>
      <w:bookmarkEnd w:id="2"/>
      <w:r>
        <w:t>3.4. С 30 марта по 30 апреля 2020 года: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3.4.1. Работу организаций, осуществляющих деятельность на территории Ульяновской области, за исключением организаций, включенных в перечень организаций, осуществляющих деятельность на территории Ульяновской области, на которые не распространяются ограничения, связанные с приостановлением работы, утвержденный нормативным правовым актом Правительства Ульяновской области.</w:t>
      </w:r>
    </w:p>
    <w:p w:rsidR="003176C2" w:rsidRDefault="003176C2">
      <w:pPr>
        <w:pStyle w:val="ConsPlusNormal"/>
        <w:jc w:val="both"/>
      </w:pPr>
      <w:r>
        <w:t xml:space="preserve">(п. 3.4.1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03.04.2020 N 43)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3.4.2. Работу объектов розничной торговли, в том числе нестационарных объектов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указанных в </w:t>
      </w:r>
      <w:hyperlink w:anchor="P138" w:history="1">
        <w:r>
          <w:rPr>
            <w:color w:val="0000FF"/>
          </w:rPr>
          <w:t>приложении N 2</w:t>
        </w:r>
      </w:hyperlink>
      <w:r>
        <w:t xml:space="preserve"> к настоящему указу, продажи товаров дистанционным способом, в том числе с условием доставки, а также объектов, предусмотренных законодательством Российской Федерации.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3.4.3.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3.4.4. Предоставление государственных и иных услуг в помещениях многофункциональных центров предоставления государственных услуг на территории Ульяновской области,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3.4.5.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3.4.6. Работу дошкольных образовательных организаций, за исключением работы дежурных групп с соблюдением санитарного режима.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4. В отношении лиц, уже проживающих в организациях, указанных в </w:t>
      </w:r>
      <w:hyperlink w:anchor="P20" w:history="1">
        <w:r>
          <w:rPr>
            <w:color w:val="0000FF"/>
          </w:rPr>
          <w:t>подпункте 3.3.1 пункта 3</w:t>
        </w:r>
      </w:hyperlink>
      <w:r>
        <w:t xml:space="preserve"> настоящего указа: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4.1.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4.2.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5. В отношении лиц, проживающих в гостиницах и иных организациях коллективного размещения, организовать питание по месту размещения указанных лиц в номерах гостиниц.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6. Собственникам организаций, указанных в </w:t>
      </w:r>
      <w:hyperlink w:anchor="P17" w:history="1">
        <w:r>
          <w:rPr>
            <w:color w:val="0000FF"/>
          </w:rPr>
          <w:t>подпунктах 3.2</w:t>
        </w:r>
      </w:hyperlink>
      <w:r>
        <w:t xml:space="preserve"> - </w:t>
      </w:r>
      <w:hyperlink w:anchor="P22" w:history="1">
        <w:r>
          <w:rPr>
            <w:color w:val="0000FF"/>
          </w:rPr>
          <w:t>3.4 пункта 3</w:t>
        </w:r>
      </w:hyperlink>
      <w:r>
        <w:t xml:space="preserve"> настоящего указа, обеспечить неукоснительное соблюдение положений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7. Рекомендовать гражданам воздержаться от посещения религиозных объектов.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3" w:name="P36"/>
      <w:bookmarkEnd w:id="3"/>
      <w:r>
        <w:lastRenderedPageBreak/>
        <w:t>8. Обязать граждан, прибывших на территорию Российской Федерации: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4" w:name="P37"/>
      <w:bookmarkEnd w:id="4"/>
      <w:r>
        <w:t>8.1. Сообщать о своем возвращении в Российскую Федерацию, месте, датах пребывания за рубежом, контактную информацию в мониторинговый центр по номеру телефона 112.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8.2.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8.3. 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5" w:name="P40"/>
      <w:bookmarkEnd w:id="5"/>
      <w:r>
        <w:t xml:space="preserve">8.4. Обеспечить самоизоляцию на дому на срок 14 дней со дня возвращения в Российскую Федерацию, за исключением случаев, указанных в </w:t>
      </w:r>
      <w:hyperlink w:anchor="P78" w:history="1">
        <w:r>
          <w:rPr>
            <w:color w:val="0000FF"/>
          </w:rPr>
          <w:t>подпункте 19.6 пункта 19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9. Обязать граждан, совместно проживающих в период обеспечения изоляции на дому с гражданами, указанными в </w:t>
      </w:r>
      <w:hyperlink w:anchor="P36" w:history="1">
        <w:r>
          <w:rPr>
            <w:color w:val="0000FF"/>
          </w:rPr>
          <w:t>пункте 8</w:t>
        </w:r>
      </w:hyperlink>
      <w:r>
        <w:t xml:space="preserve"> настоящего указа, а также с гражданами, в отношении которых приняты постановления санитарных врачей об изоляции, обеспечить самоизоляцию на дому на срок, указанный в </w:t>
      </w:r>
      <w:hyperlink w:anchor="P40" w:history="1">
        <w:r>
          <w:rPr>
            <w:color w:val="0000FF"/>
          </w:rPr>
          <w:t>подпункте 8.4 пункта 8</w:t>
        </w:r>
      </w:hyperlink>
      <w:r>
        <w:t xml:space="preserve"> настоящего указа, либо на срок, указанный в постановлениях санитарных врачей.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10. Рекомендовать гражданам ограничить поездки, в том числе в целях туризма и отдыха.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 С 26 марта по 30 апреля 2020 года: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11.1. Просить граждан в возрасте старше 65 лет, а также граждан, имеющих заболевания, указанные в </w:t>
      </w:r>
      <w:hyperlink w:anchor="P181" w:history="1">
        <w:r>
          <w:rPr>
            <w:color w:val="0000FF"/>
          </w:rPr>
          <w:t>приложении N 3</w:t>
        </w:r>
      </w:hyperlink>
      <w:r>
        <w:t xml:space="preserve"> к настоящему указу (далее - граждане группы риска), максимальное количество времени находиться в домашних условиях, минимизировав выход на улицу и ограничив посещение общественных мест.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11.2. Министерству здравоохранения Ульяновской области обеспечить возможность оформления листков нетрудоспособности без посещения медицинских организаций для граждан группы риска.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11.3. Министерству семейной, демографической политики и социального благополучия Ульяновской области: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11.3.1. Обеспечить оперативное взаимодействие с гражданами группы риска, в том числе через мониторинговый центр, указанный в </w:t>
      </w:r>
      <w:hyperlink w:anchor="P37" w:history="1">
        <w:r>
          <w:rPr>
            <w:color w:val="0000FF"/>
          </w:rPr>
          <w:t>подпункте 8.1 пункта 8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11.3.2. Обеспечить оказание гражданам группы риска возможных мер адресной социальной помощи, в том числе с учетом их запросов, поступающих в мониторинговый центр, указанный в </w:t>
      </w:r>
      <w:hyperlink w:anchor="P37" w:history="1">
        <w:r>
          <w:rPr>
            <w:color w:val="0000FF"/>
          </w:rPr>
          <w:t>подпункте 8.1 пункта 8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11.3.3. Совместно с Министерством здравоохранения Ульяновской области обеспечить в указанный период доставку гражданам группы риска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11.3.4. Организовать на базе государственных организаций социального обслуживания оказание гражданам группы риска социально-реабилитационных (оздоровительных) услуг по месту жительства, психологических услуг, консультаций по вопросам профилактики здорового образа жизни и питания.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11.4. Министерству агропромышленного комплекса и развития сельских территорий Ульяновской области, Министерству здравоохранения Ульяновской области, Министерству </w:t>
      </w:r>
      <w:r>
        <w:lastRenderedPageBreak/>
        <w:t>семейной, демографической политики и социального благополучия Ульяновской области обеспечить разделение потоков граждан группы риска и иных посетителей (получателей услуг) при посещении ими объектов торговли, медицинских организаций и организаций социальной защиты и социального обслуживания населения.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11.5. Министерству образования и науки Ульяновской области совместно с органами местного самоуправления муниципальных образований Ульяновской области обеспечить выдачу продуктовых наборов обучающимся, имеющим право на обеспечение бесплатным питанием.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12. Обязать всех работодателей, осуществляющих деятельность на территории Ульяновской области: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12.1.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12.2. Оказывать работникам содействие в обеспечении соблюдения режима самоизоляции на дому.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12.3. При поступлении запроса Управления Федеральной службы по надзору в сфере защиты прав потребителей и благополучия человека по Ульяновской области (далее - Управление Роспотребнадзора по Ульяновской области) незамедлительно представлять информацию о всех контактах заболевшего новой коронавирусной инфекцией в связи с исполнением им трудовых функций, обеспечить проведение дезинфекции помещений, где находился заболевший.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12.4. Не допускать на рабочее место и (или) на территорию организации работников из числа граждан, указанных в </w:t>
      </w:r>
      <w:hyperlink w:anchor="P36" w:history="1">
        <w:r>
          <w:rPr>
            <w:color w:val="0000FF"/>
          </w:rPr>
          <w:t>пункте 8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12.5. Перевести граждан группы риска с их согласия на дистанционный режим работы или предоставить им ежегодный оплачиваемый отпуск.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13. Рекомендовать работодателям, осуществляющим деятельность на территории Ульяновской области, ввести запрет на выезд в зарубежные командировки, а также воздержаться от поездок за рубеж в период нахождения в очередных отпусках.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14. Руководителям организаций, деятельность которых приостановлена в соответствии с настоящим указом, провести мероприятия по санитарной обработке помещений, обеспечить на вверенных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правил, в том числе ввести режим ограничения теплоснабжения до минимальных значений, но не ниже +7 градусов Цельсия.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15. Руководителям организаций, деятельность которых не приостановлена в соответствии с </w:t>
      </w:r>
      <w:hyperlink w:anchor="P22" w:history="1">
        <w:r>
          <w:rPr>
            <w:color w:val="0000FF"/>
          </w:rPr>
          <w:t>подпунктом 3.4 пункта 3</w:t>
        </w:r>
      </w:hyperlink>
      <w:r>
        <w:t xml:space="preserve"> настоящего указа: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15.1. Организовать соблюдение методических рекомендаций по профилактике новой коронавирусной инфекции, изданных Министерством здравоохранения Российской Федерации, Федеральной службой по надзору в сфере защиты прав потребителей и благополучия человека, в том числе проведение санитарной обработки помещений, использование средств индивидуальной защиты работников, задействованных в оказании услуг населению.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15.2. Удостоверять привлечение работников к трудовой (служебной) деятельности посредством выдачи соответствующих справок, выданных в соответствии с </w:t>
      </w:r>
      <w:hyperlink w:anchor="P105" w:history="1">
        <w:r>
          <w:rPr>
            <w:color w:val="0000FF"/>
          </w:rPr>
          <w:t>пунктом 29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16. Обязать в период с 31 марта по 30 апреля 2020 года: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lastRenderedPageBreak/>
        <w:t>16.1.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16.2.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7" w:name="P67"/>
      <w:bookmarkEnd w:id="7"/>
      <w:r>
        <w:t>16.3.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Ульяновской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Ограничения, установленные настоящим пунктом, также не распространяются на граждан в случае наличия у них справок от работодателей, выданных в соответствии с </w:t>
      </w:r>
      <w:hyperlink w:anchor="P105" w:history="1">
        <w:r>
          <w:rPr>
            <w:color w:val="0000FF"/>
          </w:rPr>
          <w:t>пунктом 29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17. Рекомендовать гражданам при выходе за пределы места проживания (пребывания) в случаях, указанных в </w:t>
      </w:r>
      <w:hyperlink w:anchor="P67" w:history="1">
        <w:r>
          <w:rPr>
            <w:color w:val="0000FF"/>
          </w:rPr>
          <w:t>подпункте 16.3 пункта 16</w:t>
        </w:r>
      </w:hyperlink>
      <w:r>
        <w:t xml:space="preserve"> настоящего указа, использовать средства индивидуальной защиты органов дыхания.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18. Правительству Ульяновской области, иным исполнительным органам государственной власти Ульяновской области, областным государственным учреждениям, в отношении которых функции и полномочия учредителя осуществляют Правительство Ульяновской области и иные исполнительные органы государственной власти Ульяновской области, органам местного самоуправления муниципальных образований Ульяновской области максимально сократить количество проводимых совещаний, иных деловых и корпоративных мероприятий, допуская возможность их проведения только в чрезвычайно важных и неотложных случаях в числе не более 10 присутствующих, а при проведении мероприятий областного и межведомственного характера - не более 50 присутствующих.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 Министерству здравоохранения Ульяновской области: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19.1. Обеспечить возможность оформления листков нетрудоспособности без посещения медицинских организаций для лиц, указанных в </w:t>
      </w:r>
      <w:hyperlink w:anchor="P36" w:history="1">
        <w:r>
          <w:rPr>
            <w:color w:val="0000FF"/>
          </w:rPr>
          <w:t>пункте 8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19.2. Организовать работу медицинских организаций с приоритетом оказания медицинской </w:t>
      </w:r>
      <w:r>
        <w:lastRenderedPageBreak/>
        <w:t>помощи на дому лихорадящим больным с респираторными симптомами, прибывшим на территорию Российской Федерации,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новую коронавирусную инфекцию, развертыванию дополнительной госпитальной базы.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19.4. Рассчитать дополнительную потребность в средствах индивидуальной защиты, дезинфицирующих средствах и других лекарственных средствах для оснащения медицинских организаций с целью реализации мероприятий по предупреждению завоза и распространения новой коронавирусной инфекции, а также потребность в обсерваторах для лиц, прибывших в Российскую Федерацию, и обеспечить их готовность.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19.5. Обеспечить приобретение необходимых средств индивидуальной защиты, дезинфицирующих и лекарственных средств, медицинских изделий, аппаратов искусственной вентиляции легких и иного медицинского оборудования с учетом общих требований к оснащению коек для пациентов с COVID-19, в соответствии с минимальным стандартом медицинской организации для лечения пациентов с COVID-19, разработанных Министерством здравоохранения Российской Федерации.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8" w:name="P78"/>
      <w:bookmarkEnd w:id="8"/>
      <w:r>
        <w:t>19.6. Обеспечить изоляцию и медицинское наблюдение всех лиц, проживающих на территории Ульяновской области, вернувшихся в Российскую Федерацию с 1 апреля 2020 года, на срок 14 календарных дней со дня их прибытия в условиях обсерватора.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19.7. Принять меры по обеспечению транспортирования лиц, указанных в </w:t>
      </w:r>
      <w:hyperlink w:anchor="P78" w:history="1">
        <w:r>
          <w:rPr>
            <w:color w:val="0000FF"/>
          </w:rPr>
          <w:t>подпункте 19.6</w:t>
        </w:r>
      </w:hyperlink>
      <w:r>
        <w:t xml:space="preserve"> настоящего пункта, до места изоляции в условиях, исключающих риски инфицирования COVID-2019.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19.8. Организовать лабораторную диагностику COVID-2019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полимеразно-цепной реакции.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19.9. Обеспечить обязательное проведение лабораторного исследования на COVID-2019 следующих категорий граждан: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вернувшихся на территорию Российской Федерации с признаками респираторных заболеваний;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контактировавших с больным COVID-2019;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с диагнозом "внебольничная пневмония";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старше 65 лет, обратившихся за медицинской помощью с симптомами респираторного заболевания;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находящихся в учреждениях постоянного пребывания независимо от организационно-</w:t>
      </w:r>
      <w:r>
        <w:lastRenderedPageBreak/>
        <w:t>правовой формы (специальные учебно-воспитательные учреждения закрытого типа, кадетские корпуса, дома-интернаты, учреждения ФСИН России), и персонал таких организаций - при появлении симптомов респираторных заболеваний.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19.10. Обеспечить соблюдение противоэпидемического режима, исключающего риски инфицирования COVID-2019, в обсерваторах, медицинских организациях для госпитализации больных COVID-2019, обучение персонала работе со средствами индивидуальной защиты и контроль их использования.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19.11. Обеспечить сбор в ежедневном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представление ее в федеральное бюджетное учреждение здравоохранения "Центр гигиены и эпидемиологии в Ульяновской области".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19.12. При получении положительного результата на COVID-2019 незамедлительно информировать Управление Роспотребнадзора по Ульяновской области и направлять биологические материалы в федеральное бюджетное учреждение здравоохранения "Центр гигиены и эпидемиологии в Ульяновской области".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20. Министерству семейной, демографической политики и социального благополучия Ульяновской области обеспечить подготовку предложений по оказанию мер дополнительной адресной поддержки граждан в связи с возможной угрозой распространения в Ульяновской области новой коронавирусной инфекции.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21. Министерству промышленности и транспорта Ульяновской области совместно с главами администраций муниципальных образований Ульяновской области обеспечить контроль за обязательным использованием средств индивидуальной защиты персоналом транспортно-пересадочных узлов, транспортных средств (поезда, автобусы и другие виды общественного транспорта).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22. Министерству промышленности и транспорта Ульяновской области совместно с главами администраций муниципальных образований Ульяновской области и руководителями объектов в целях обеспечения устойчивости работы промышленных предприятий: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22.1. Организовать непрерывный мониторинг функционирования промышленных предприятий, особое внимание уделить предприятиям с безостановочным циклом работы и жизнеобеспечения.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22.2. Организовать на промышленных предприятиях создание запасов сырья, топлива, оборудования, материалов и комплектующих изделий.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22.3. Обеспечить устойчивые связи с предприятиями-поставщиками, для чего предусмотреть запасные варианты производственных связей.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23. Признать, что угроза распространения новой коронавирусной инфекции как чрезвычайное и непредотвратимое в сложившихся условиях обстоятельство, повлекшее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 введение на территории Ульяновской области режима повышенной готовности, а равно распространение указанной инфекции являются обстоятельствами непреодолимой силы.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24. Рекомендовать Управлению Роспотребнадзора по Ульяновской области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области, органов местного самоуправления муниципальных </w:t>
      </w:r>
      <w:r>
        <w:lastRenderedPageBreak/>
        <w:t>образований Ульяновской области и организаций по недопущению ввоза и распространения новой коронавирусной инфекции.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25. Рекомендовать главам администраций муниципальных образований Ульяновской области осуществлять личный контроль проведения дезинфекционных мероприятий в общественном транспорте, на объектах торговли и общественного питания, в образовательных организациях, гостиницах, а также обязательного использования средств индивидуальной защиты персоналом указанных организаций.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26. Рекомендовать руководителям хозяйствующих субъектов Ульяновской области, эксплуатирующих сооружения по очистке сточных вод, обеспечить строгое соблюдение технологии обеззараживания сбрасываемых сточных вод с усилением дезинфекционного режима, проведения производственного контроля сточных вод.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27. Перевести Оперативный штаб по предупреждению завоза и распространения новой коронавирусной инфекции на территории Ульяновской области (далее - Штаб) в круглосуточный режим работы до особого указания.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28. Секретариату Штаба: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28.1. Обеспечить ежедневное представление Губернатору Ульяновской области доклада о ситуации с распространением в регионе новой коронавирусной инфекции, числе заболевших, в том числе вновь выявленных случаях заражения инфекцией.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28.2. Обеспечить контроль за выдачей справок лицам, привлекаемым к трудовой (служебной) деятельности или для оказания содействия в обеспечении режима самоизоляции граждан или которые обеспечивают функционирование государственных органов и органов местного самоуправления на территории Ульяновской области.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>29. Правительству Ульяновской области: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29.1. Утвердить форму и порядок выдачи справок, указанных в </w:t>
      </w:r>
      <w:hyperlink w:anchor="P63" w:history="1">
        <w:r>
          <w:rPr>
            <w:color w:val="0000FF"/>
          </w:rPr>
          <w:t>подпункте 15.2 пункта 15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28.2 пункта 28</w:t>
        </w:r>
      </w:hyperlink>
      <w:r>
        <w:t xml:space="preserve"> настоящего указа.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29.2. Внести на утверждение Губернатору Ульяновской области правовой акт, устанавливающий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3176C2" w:rsidRDefault="003176C2">
      <w:pPr>
        <w:pStyle w:val="ConsPlusNormal"/>
        <w:jc w:val="both"/>
      </w:pPr>
      <w:r>
        <w:t xml:space="preserve">(п. 29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03.04.2020 N 43)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30. Рекомендовать Управлению Министерства внутренних дел Российской Федерации по Ульяновской области совместно с Управлением Роспотребнадзора по Ульяновской области, Министерством здравоохранения Ульяновской области, органами местного самоуправления муниципальных образований Ульяновской области и координирующими органами народных дружин оказать содействие в обеспечении режима самоизоляции граждан.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31. Заместителю Губернатора Ульяновской области Мартыновой Н.Н. организовать информирование населения через средства массовой информации, а также официальный сайт Губернатора и Правительства Ульяновской области в информационно-телекоммуникационной сети Интернет о введении на территории Ульяновской области режима повышенной готовности, связанных с ним дополнительных обязанностях граждан, прибывших на территорию Российской Федерации.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32. Настоящий указ вступает в силу на следующий день после дня его официального опубликования.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right"/>
        <w:outlineLvl w:val="0"/>
      </w:pPr>
      <w:r>
        <w:t>Приложение N 1</w:t>
      </w:r>
    </w:p>
    <w:p w:rsidR="003176C2" w:rsidRDefault="003176C2">
      <w:pPr>
        <w:pStyle w:val="ConsPlusNormal"/>
        <w:jc w:val="right"/>
      </w:pPr>
      <w:r>
        <w:t>к указу</w:t>
      </w:r>
    </w:p>
    <w:p w:rsidR="003176C2" w:rsidRDefault="003176C2">
      <w:pPr>
        <w:pStyle w:val="ConsPlusNormal"/>
        <w:jc w:val="right"/>
      </w:pPr>
      <w:r>
        <w:t>Губернатора Ульяновской области</w:t>
      </w:r>
    </w:p>
    <w:p w:rsidR="003176C2" w:rsidRDefault="003176C2">
      <w:pPr>
        <w:pStyle w:val="ConsPlusNormal"/>
        <w:jc w:val="right"/>
      </w:pPr>
      <w:r>
        <w:t>от 12 марта 2020 г. N 19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Title"/>
        <w:jc w:val="center"/>
      </w:pPr>
      <w:r>
        <w:t>ПЕРЕЧЕНЬ</w:t>
      </w:r>
    </w:p>
    <w:p w:rsidR="003176C2" w:rsidRDefault="003176C2">
      <w:pPr>
        <w:pStyle w:val="ConsPlusTitle"/>
        <w:jc w:val="center"/>
      </w:pPr>
      <w:r>
        <w:t>ОРГАНИЗАЦИЙ, ОСУЩЕСТВЛЯЮЩИХ ДЕЯТЕЛЬНОСТЬ НА ТЕРРИТОРИИ</w:t>
      </w:r>
    </w:p>
    <w:p w:rsidR="003176C2" w:rsidRDefault="003176C2">
      <w:pPr>
        <w:pStyle w:val="ConsPlusTitle"/>
        <w:jc w:val="center"/>
      </w:pPr>
      <w:r>
        <w:t>УЛЬЯНОВСКОЙ ОБЛАСТИ, НА КОТОРЫЕ НЕ РАСПРОСТРАНЯЮТСЯ</w:t>
      </w:r>
    </w:p>
    <w:p w:rsidR="003176C2" w:rsidRDefault="003176C2">
      <w:pPr>
        <w:pStyle w:val="ConsPlusTitle"/>
        <w:jc w:val="center"/>
      </w:pPr>
      <w:r>
        <w:t>ОГРАНИЧЕНИЯ, СВЯЗАННЫЕ С ПРИОСТАНОВЛЕНИЕМ РАБОТЫ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Ульяновской области от 03.04.2020 N 43.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right"/>
        <w:outlineLvl w:val="0"/>
      </w:pPr>
      <w:r>
        <w:t>Приложение N 2</w:t>
      </w:r>
    </w:p>
    <w:p w:rsidR="003176C2" w:rsidRDefault="003176C2">
      <w:pPr>
        <w:pStyle w:val="ConsPlusNormal"/>
        <w:jc w:val="right"/>
      </w:pPr>
      <w:r>
        <w:t>к указу</w:t>
      </w:r>
    </w:p>
    <w:p w:rsidR="003176C2" w:rsidRDefault="003176C2">
      <w:pPr>
        <w:pStyle w:val="ConsPlusNormal"/>
        <w:jc w:val="right"/>
      </w:pPr>
      <w:r>
        <w:t>Губернатора Ульяновской области</w:t>
      </w:r>
    </w:p>
    <w:p w:rsidR="003176C2" w:rsidRDefault="003176C2">
      <w:pPr>
        <w:pStyle w:val="ConsPlusNormal"/>
        <w:jc w:val="right"/>
      </w:pPr>
      <w:r>
        <w:t>от 12 марта 2020 г. N 19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Title"/>
        <w:jc w:val="center"/>
      </w:pPr>
      <w:bookmarkStart w:id="11" w:name="P138"/>
      <w:bookmarkEnd w:id="11"/>
      <w:r>
        <w:t>ПЕРЕЧЕНЬ</w:t>
      </w:r>
    </w:p>
    <w:p w:rsidR="003176C2" w:rsidRDefault="003176C2">
      <w:pPr>
        <w:pStyle w:val="ConsPlusTitle"/>
        <w:jc w:val="center"/>
      </w:pPr>
      <w:r>
        <w:t>НЕПРОДОВОЛЬСТВЕННЫХ ТОВАРОВ ПЕРВОЙ НЕОБХОДИМОСТИ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ind w:firstLine="540"/>
        <w:jc w:val="both"/>
      </w:pPr>
      <w:r>
        <w:t>1. Санитарно-гигиеническая маска.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2. Антисептик для рук.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 Салфетки влажные.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4. Салфетки сухие.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5. Мыло туалетное.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6. Мыло хозяйственное.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7. Паста зубная.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8. Щетка зубная.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9. Бумага туалетная.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10. Гигиенические прокладки.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11. Стиральный порошок.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12. Подгузники детские.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13. Спички (коробок).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14. Свечи.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15. Пеленка для новорожденного.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lastRenderedPageBreak/>
        <w:t>16. Шампунь детский.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17. Крем от опрелостей детский.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18. Бутылочка для кормления.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19. Соска-пустышка.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20. Бензин автомобильный.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21. Дизельное топливо.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22. Сжиженный природный газ.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23. Зоотовары (включая корма для животных и ветеринарные препараты).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24. Автозапчасти (включая материалы смазочные, шины, покрышки, камеры)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25. Строительные и отделочные материалы и инструменты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26. Санитарно-технические изделия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 xml:space="preserve">27. Товары для предупреждения пожаров и пожаротушения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28. Печатные издания.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76C2" w:rsidRDefault="003176C2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&lt;*&gt; В отношении указанных групп товаров первой необходимости перечень используется только организациями торговли.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right"/>
        <w:outlineLvl w:val="0"/>
      </w:pPr>
      <w:r>
        <w:t>Приложение N 3</w:t>
      </w:r>
    </w:p>
    <w:p w:rsidR="003176C2" w:rsidRDefault="003176C2">
      <w:pPr>
        <w:pStyle w:val="ConsPlusNormal"/>
        <w:jc w:val="right"/>
      </w:pPr>
      <w:r>
        <w:t>к указу</w:t>
      </w:r>
    </w:p>
    <w:p w:rsidR="003176C2" w:rsidRDefault="003176C2">
      <w:pPr>
        <w:pStyle w:val="ConsPlusNormal"/>
        <w:jc w:val="right"/>
      </w:pPr>
      <w:r>
        <w:t>Губернатора Ульяновской области</w:t>
      </w:r>
    </w:p>
    <w:p w:rsidR="003176C2" w:rsidRDefault="003176C2">
      <w:pPr>
        <w:pStyle w:val="ConsPlusNormal"/>
        <w:jc w:val="right"/>
      </w:pPr>
      <w:r>
        <w:t>от 12 марта 2020 г. N 19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Title"/>
        <w:jc w:val="center"/>
      </w:pPr>
      <w:bookmarkStart w:id="13" w:name="P181"/>
      <w:bookmarkEnd w:id="13"/>
      <w:r>
        <w:t>ПЕРЕЧЕНЬ</w:t>
      </w:r>
    </w:p>
    <w:p w:rsidR="003176C2" w:rsidRDefault="003176C2">
      <w:pPr>
        <w:pStyle w:val="ConsPlusTitle"/>
        <w:jc w:val="center"/>
      </w:pPr>
      <w:r>
        <w:t>ЗАБОЛЕВАНИЙ, ТРЕБУЮЩИХ НАХОЖДЕНИЯ В ДОМАШНИХ УСЛОВИЯХ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Е10.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lastRenderedPageBreak/>
        <w:t>4. Наличие трансплантированных органов и тканей, классифицируемых в соответствии с МКБ-10 по диагнозу Z94.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5. Болезнь мочеполовой системы - хроническая болезнь почек 3 - 5 стадии, классифицируемая в соответствии с МКБ-10 по диагнозам N18.0, N18.3 - N18.5.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6. Новообразования из числа: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С00 - С80, С97.</w:t>
      </w:r>
    </w:p>
    <w:p w:rsidR="003176C2" w:rsidRDefault="003176C2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С81 - С96, D46.</w:t>
      </w: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jc w:val="both"/>
      </w:pPr>
    </w:p>
    <w:p w:rsidR="003176C2" w:rsidRDefault="00317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BBD" w:rsidRDefault="00E22BBD">
      <w:bookmarkStart w:id="14" w:name="_GoBack"/>
      <w:bookmarkEnd w:id="14"/>
    </w:p>
    <w:sectPr w:rsidR="00E22BBD" w:rsidSect="00C3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2"/>
    <w:rsid w:val="003176C2"/>
    <w:rsid w:val="00E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976D-4FBF-457E-AC14-F358C87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2E67915DF2CB90ECBC508CD87A50911A6B083BFA95A09346E817557A9E6B62DC952046B51D5D2D34D964EBAA85ABAA468194CAECBC46D5E3003Y4l4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2E67915DF2CB90ECBDB05DBEBFB0314AFE68CB3AE57586A31DA2800A0ECE16A860B462D55DF868209C345B1F515FEF57B1B45B2YCl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2E67915DF2CB90ECBC508CD87A50911A6B083BFA95A09346E817557A9E6B62DC952046B51D5D2D34D964DBAA85ABAA468194CAECBC46D5E3003Y4l4O" TargetMode="External"/><Relationship Id="rId11" Type="http://schemas.openxmlformats.org/officeDocument/2006/relationships/hyperlink" Target="consultantplus://offline/ref=8F02E67915DF2CB90ECBC508CD87A50911A6B083BFA95A09346E817557A9E6B62DC952046B51D5D2D34D974ABAA85ABAA468194CAECBC46D5E3003Y4l4O" TargetMode="External"/><Relationship Id="rId5" Type="http://schemas.openxmlformats.org/officeDocument/2006/relationships/hyperlink" Target="consultantplus://offline/ref=8F02E67915DF2CB90ECBC508CD87A50911A6B083BFA95A0D3F6E817557A9E6B62DC952046B51D5D2D34D964DBAA85ABAA468194CAECBC46D5E3003Y4l4O" TargetMode="External"/><Relationship Id="rId10" Type="http://schemas.openxmlformats.org/officeDocument/2006/relationships/hyperlink" Target="consultantplus://offline/ref=8F02E67915DF2CB90ECBC508CD87A50911A6B083BFA95A09346E817557A9E6B62DC952046B51D5D2D34D9640BAA85ABAA468194CAECBC46D5E3003Y4l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02E67915DF2CB90ECBDB05DBEBFB0314AFE68CB3AE57586A31DA2800A0ECE17886534A2F55CAD2D7539448B3YF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2020-04-09T14:37:00Z</dcterms:created>
  <dcterms:modified xsi:type="dcterms:W3CDTF">2020-04-09T14:38:00Z</dcterms:modified>
</cp:coreProperties>
</file>